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C53" w14:textId="77777777" w:rsidR="003F7103" w:rsidRDefault="000F35BC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학년도 </w:t>
      </w:r>
      <w:r>
        <w:t>1</w:t>
      </w:r>
      <w:r>
        <w:rPr>
          <w:rFonts w:hint="eastAsia"/>
        </w:rPr>
        <w:t>학기 신규강좌</w:t>
      </w:r>
    </w:p>
    <w:p w14:paraId="0CB190B6" w14:textId="77777777" w:rsidR="003F7103" w:rsidRDefault="000F35BC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생활과학과 세계시민교육</w:t>
      </w:r>
    </w:p>
    <w:p w14:paraId="13094074" w14:textId="77777777" w:rsidR="003F7103" w:rsidRDefault="000F35BC">
      <w:pPr>
        <w:spacing w:after="0" w:line="276" w:lineRule="auto"/>
        <w:jc w:val="center"/>
      </w:pPr>
      <w:r w:rsidRPr="00CB3305">
        <w:rPr>
          <w:rFonts w:hint="eastAsia"/>
          <w:b/>
          <w:bCs/>
          <w:color w:val="002060"/>
        </w:rPr>
        <w:t>유네스코 아시아태평양 국제이해교육원</w:t>
      </w:r>
      <w:r>
        <w:rPr>
          <w:rFonts w:hint="eastAsia"/>
        </w:rPr>
        <w:t>의 세계시민교육 대학 강좌 개설 지원사업 지원</w:t>
      </w:r>
    </w:p>
    <w:p w14:paraId="64FA6DAB" w14:textId="77777777" w:rsidR="003F7103" w:rsidRDefault="000F35BC">
      <w:pPr>
        <w:pStyle w:val="a3"/>
        <w:spacing w:line="240" w:lineRule="auto"/>
        <w:ind w:leftChars="0" w:left="360"/>
        <w:jc w:val="center"/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b/>
          <w:bCs/>
          <w:color w:val="FF0000"/>
          <w:sz w:val="18"/>
          <w:szCs w:val="18"/>
          <w:shd w:val="clear" w:color="auto" w:fill="FFFFFF"/>
        </w:rPr>
        <w:t xml:space="preserve">일반대학원 기초공통과목, 학부 4학년 이상 </w:t>
      </w:r>
      <w:r>
        <w:rPr>
          <w:rFonts w:ascii="돋움" w:eastAsia="돋움" w:hAnsi="돋움"/>
          <w:b/>
          <w:bCs/>
          <w:color w:val="FF0000"/>
          <w:sz w:val="18"/>
          <w:szCs w:val="18"/>
          <w:shd w:val="clear" w:color="auto" w:fill="FFFFFF"/>
        </w:rPr>
        <w:t>(</w:t>
      </w:r>
      <w:r>
        <w:rPr>
          <w:rFonts w:ascii="돋움" w:eastAsia="돋움" w:hAnsi="돋움" w:hint="eastAsia"/>
          <w:b/>
          <w:bCs/>
          <w:color w:val="FF0000"/>
          <w:sz w:val="18"/>
          <w:szCs w:val="18"/>
          <w:shd w:val="clear" w:color="auto" w:fill="FFFFFF"/>
        </w:rPr>
        <w:t xml:space="preserve">평점 </w:t>
      </w:r>
      <w:r>
        <w:rPr>
          <w:rFonts w:ascii="돋움" w:eastAsia="돋움" w:hAnsi="돋움"/>
          <w:b/>
          <w:bCs/>
          <w:color w:val="FF0000"/>
          <w:sz w:val="18"/>
          <w:szCs w:val="18"/>
          <w:shd w:val="clear" w:color="auto" w:fill="FFFFFF"/>
        </w:rPr>
        <w:t xml:space="preserve">3.5 </w:t>
      </w:r>
      <w:r>
        <w:rPr>
          <w:rFonts w:ascii="돋움" w:eastAsia="돋움" w:hAnsi="돋움" w:hint="eastAsia"/>
          <w:b/>
          <w:bCs/>
          <w:color w:val="FF0000"/>
          <w:sz w:val="18"/>
          <w:szCs w:val="18"/>
          <w:shd w:val="clear" w:color="auto" w:fill="FFFFFF"/>
        </w:rPr>
        <w:t>이상)</w:t>
      </w:r>
      <w:r>
        <w:rPr>
          <w:rFonts w:ascii="돋움" w:eastAsia="돋움" w:hAnsi="돋움"/>
          <w:b/>
          <w:bCs/>
          <w:color w:val="FF0000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b/>
          <w:bCs/>
          <w:color w:val="FF0000"/>
          <w:sz w:val="18"/>
          <w:szCs w:val="18"/>
          <w:shd w:val="clear" w:color="auto" w:fill="FFFFFF"/>
        </w:rPr>
        <w:t>수강가능.</w:t>
      </w:r>
      <w:r>
        <w:rPr>
          <w:rStyle w:val="a7"/>
          <w:rFonts w:ascii="돋움" w:eastAsia="돋움" w:hAnsi="돋움" w:hint="eastAsia"/>
          <w:b/>
          <w:bCs/>
          <w:color w:val="FF0000"/>
          <w:sz w:val="18"/>
          <w:szCs w:val="18"/>
          <w:shd w:val="clear" w:color="auto" w:fill="FFFFFF"/>
        </w:rPr>
        <w:footnoteReference w:id="1"/>
      </w:r>
      <w:r>
        <w:rPr>
          <w:rFonts w:ascii="돋움" w:eastAsia="돋움" w:hAnsi="돋움" w:hint="eastAsia"/>
          <w:b/>
          <w:bCs/>
          <w:color w:val="FF0000"/>
          <w:sz w:val="18"/>
          <w:szCs w:val="18"/>
          <w:shd w:val="clear" w:color="auto" w:fill="FFFFFF"/>
        </w:rPr>
        <w:t xml:space="preserve"> </w:t>
      </w:r>
    </w:p>
    <w:p w14:paraId="764E168E" w14:textId="77777777" w:rsidR="003F7103" w:rsidRDefault="000F35BC">
      <w:pPr>
        <w:pStyle w:val="a3"/>
        <w:ind w:leftChars="0" w:left="360"/>
        <w:jc w:val="center"/>
      </w:pPr>
      <w:r>
        <w:rPr>
          <w:rFonts w:ascii="돋움" w:eastAsia="돋움" w:hAnsi="돋움" w:hint="eastAsia"/>
          <w:i/>
          <w:iCs/>
          <w:sz w:val="22"/>
          <w:shd w:val="clear" w:color="auto" w:fill="FFFFFF"/>
        </w:rPr>
        <w:t>가정교육과 학부생들의 많은 관심 및 참여를 바랍니다.</w:t>
      </w:r>
    </w:p>
    <w:p w14:paraId="2CC432D5" w14:textId="77777777" w:rsidR="003F7103" w:rsidRDefault="003F7103">
      <w:pPr>
        <w:pStyle w:val="a3"/>
        <w:ind w:leftChars="0" w:left="400"/>
        <w:jc w:val="left"/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</w:pPr>
    </w:p>
    <w:p w14:paraId="7DDEE8EC" w14:textId="77777777" w:rsidR="003F7103" w:rsidRDefault="000F35BC">
      <w:pPr>
        <w:pStyle w:val="a3"/>
        <w:numPr>
          <w:ilvl w:val="0"/>
          <w:numId w:val="1"/>
        </w:numPr>
        <w:ind w:leftChars="0" w:left="40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담당교수:</w:t>
      </w:r>
      <w:r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가정교육과</w:t>
      </w:r>
      <w:r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유난숙,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이윤정</w:t>
      </w:r>
    </w:p>
    <w:p w14:paraId="6B9A93E0" w14:textId="77777777" w:rsidR="003F7103" w:rsidRDefault="000F35BC">
      <w:pPr>
        <w:pStyle w:val="a3"/>
        <w:numPr>
          <w:ilvl w:val="0"/>
          <w:numId w:val="1"/>
        </w:numPr>
        <w:tabs>
          <w:tab w:val="left" w:pos="400"/>
        </w:tabs>
        <w:ind w:leftChars="0" w:left="400"/>
        <w:jc w:val="left"/>
        <w:rPr>
          <w:rFonts w:ascii="돋움" w:eastAsia="돋움" w:hAnsi="돋움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cs="Arial"/>
          <w:b/>
          <w:bCs/>
          <w:color w:val="777777"/>
          <w:sz w:val="18"/>
          <w:szCs w:val="18"/>
          <w:shd w:val="clear" w:color="auto" w:fill="FFFFFF"/>
        </w:rPr>
        <w:t>과목개요:</w:t>
      </w:r>
    </w:p>
    <w:p w14:paraId="2427F92E" w14:textId="77777777" w:rsidR="003F7103" w:rsidRDefault="000F35BC">
      <w:pPr>
        <w:ind w:left="40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본 강좌는 세계시민교육 전문가 및 전담교수의 강의, 실습, 프로젝트중심 학습으로 이루어진다. 환경과 지속가능한 삶, 문화의 다양성, 빈곤과 불평등 등 세계시민교육 분야에 대한 이해를 다루고, 생활과학분야에서 세계시민교육과 관련된 프로젝트를 수행하는 것을 포함한다.</w:t>
      </w:r>
    </w:p>
    <w:p w14:paraId="2C8F167B" w14:textId="77777777" w:rsidR="003F7103" w:rsidRDefault="000F35BC">
      <w:pPr>
        <w:pStyle w:val="a3"/>
        <w:numPr>
          <w:ilvl w:val="0"/>
          <w:numId w:val="1"/>
        </w:numPr>
        <w:ind w:leftChars="0"/>
        <w:jc w:val="left"/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학습목표:</w:t>
      </w:r>
    </w:p>
    <w:p w14:paraId="085E2C14" w14:textId="77777777" w:rsidR="003F7103" w:rsidRDefault="000F35BC">
      <w:pPr>
        <w:pStyle w:val="a3"/>
        <w:ind w:leftChars="0" w:left="36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본 강좌의 목표는 학생들에게 세계시민성에 대한 지식을 충분히 갖추게 할 뿐 아니라 프로젝트중심학습(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>Project-Based Learning)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을 통해 세계시민교육 프로그램 설계 등 다양한 프로젝트를 수행하는 기회를 주는 데 있다.</w:t>
      </w:r>
    </w:p>
    <w:p w14:paraId="1FCDA201" w14:textId="77777777" w:rsidR="003F7103" w:rsidRDefault="000F35BC">
      <w:pPr>
        <w:pStyle w:val="a3"/>
        <w:numPr>
          <w:ilvl w:val="0"/>
          <w:numId w:val="1"/>
        </w:numPr>
        <w:ind w:leftChars="0"/>
        <w:jc w:val="left"/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학습내용:</w:t>
      </w:r>
    </w:p>
    <w:p w14:paraId="2ECCD6AF" w14:textId="77777777" w:rsidR="003F7103" w:rsidRDefault="000F35BC">
      <w:pPr>
        <w:pStyle w:val="a3"/>
        <w:ind w:leftChars="0" w:left="36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세계시민성</w:t>
      </w:r>
      <w:r w:rsidRP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관련 프로젝트 기획 및 수행</w:t>
      </w:r>
    </w:p>
    <w:p w14:paraId="0354B4A5" w14:textId="3A098F28" w:rsidR="003F7103" w:rsidRDefault="000F35BC">
      <w:pPr>
        <w:pStyle w:val="a3"/>
        <w:ind w:leftChars="0" w:left="36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 w:rsidRP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 w:rsidRPr="001F629A"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세계시민교육에 관한 전문가 특강</w:t>
      </w:r>
      <w:r w:rsidR="00597402"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 xml:space="preserve"> </w:t>
      </w:r>
      <w:r w:rsidR="00597402" w:rsidRP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>(</w:t>
      </w:r>
      <w:proofErr w:type="spellStart"/>
      <w:r w:rsidR="00597402"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스탠포드대학교</w:t>
      </w:r>
      <w:proofErr w:type="spellEnd"/>
      <w:r w:rsidR="00597402"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 xml:space="preserve"> 교수 P</w:t>
      </w:r>
      <w:r w:rsidR="00597402" w:rsidRP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>aul Kim</w:t>
      </w:r>
      <w:r w:rsid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, </w:t>
      </w:r>
      <w:r w:rsid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세계시민교육프로그램 현장전문가(가정과교사 변지윤,</w:t>
      </w:r>
      <w:r w:rsid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proofErr w:type="spellStart"/>
      <w:r w:rsid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허영선</w:t>
      </w:r>
      <w:proofErr w:type="spellEnd"/>
      <w:r w:rsid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)</w:t>
      </w:r>
      <w:r w:rsidR="00597402" w:rsidRPr="001F629A"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 w:rsidR="00597402" w:rsidRPr="001F629A"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등)</w:t>
      </w:r>
    </w:p>
    <w:p w14:paraId="63A2D2D7" w14:textId="77777777" w:rsidR="003F7103" w:rsidRDefault="000F35BC">
      <w:pPr>
        <w:pStyle w:val="a3"/>
        <w:ind w:leftChars="0" w:left="36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 w:rsidRPr="001F629A"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Real</w:t>
      </w:r>
      <w:r w:rsidRPr="001F629A"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  <w:t>lives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를 통한 시계시민의 삶에 대한 경험 및 공감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활동</w:t>
      </w:r>
    </w:p>
    <w:p w14:paraId="787F6516" w14:textId="77777777" w:rsidR="003F7103" w:rsidRDefault="000F35BC">
      <w:pPr>
        <w:pStyle w:val="a3"/>
        <w:ind w:leftChars="0" w:left="36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 w:rsidRPr="001F629A"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마포 마을공동체,</w:t>
      </w:r>
      <w:r w:rsidRPr="001F629A"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  <w:t xml:space="preserve"> </w:t>
      </w:r>
      <w:r w:rsidRPr="001F629A"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전쟁과 인권박물관 견학</w:t>
      </w:r>
    </w:p>
    <w:p w14:paraId="4A55EBD0" w14:textId="77777777" w:rsidR="003F7103" w:rsidRDefault="000F35BC">
      <w:pPr>
        <w:pStyle w:val="a3"/>
        <w:ind w:leftChars="0" w:left="360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 xml:space="preserve">생활과학 분야에 관련된 다양한 주제에 대한 논의 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>(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문화 다양성,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환경,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빈곤과 불평등,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</w:p>
    <w:p w14:paraId="5D4456EA" w14:textId="77777777" w:rsidR="003F7103" w:rsidRDefault="000F35BC">
      <w:pPr>
        <w:pStyle w:val="a3"/>
        <w:ind w:leftChars="0" w:left="360" w:firstLine="207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인권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및 젠더 감수성,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전쟁/난민/평화,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식품안보,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가치소비 등)</w:t>
      </w:r>
    </w:p>
    <w:p w14:paraId="21C72C5F" w14:textId="77777777" w:rsidR="003F7103" w:rsidRDefault="000F35BC">
      <w:pPr>
        <w:pStyle w:val="a3"/>
        <w:numPr>
          <w:ilvl w:val="0"/>
          <w:numId w:val="1"/>
        </w:numPr>
        <w:ind w:leftChars="0"/>
        <w:jc w:val="left"/>
        <w:rPr>
          <w:rFonts w:ascii="돋움" w:eastAsia="돋움" w:hAnsi="돋움"/>
          <w:b/>
          <w:bCs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b/>
          <w:bCs/>
          <w:color w:val="777777"/>
          <w:sz w:val="18"/>
          <w:szCs w:val="18"/>
          <w:shd w:val="clear" w:color="auto" w:fill="FFFFFF"/>
        </w:rPr>
        <w:t>평가방법:</w:t>
      </w:r>
    </w:p>
    <w:p w14:paraId="70FDF86C" w14:textId="77777777" w:rsidR="003F7103" w:rsidRDefault="000F35BC">
      <w:pPr>
        <w:ind w:leftChars="213" w:left="427" w:hanging="1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수시과제(수업 중 활동)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40%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</w:p>
    <w:p w14:paraId="5A30451D" w14:textId="77777777" w:rsidR="003F7103" w:rsidRDefault="000F35BC">
      <w:pPr>
        <w:ind w:firstLineChars="236" w:firstLine="425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 xml:space="preserve">피드백 참여도 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20%</w:t>
      </w:r>
    </w:p>
    <w:p w14:paraId="08D8495F" w14:textId="77777777" w:rsidR="003F7103" w:rsidRDefault="000F35BC">
      <w:pPr>
        <w:ind w:firstLineChars="236" w:firstLine="425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기말과제(팀 프로젝트)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30%</w:t>
      </w:r>
    </w:p>
    <w:p w14:paraId="6C838133" w14:textId="77777777" w:rsidR="003F7103" w:rsidRDefault="000F35BC">
      <w:pPr>
        <w:ind w:firstLineChars="236" w:firstLine="425"/>
        <w:jc w:val="left"/>
        <w:rPr>
          <w:rFonts w:ascii="돋움" w:eastAsia="돋움" w:hAnsi="돋움"/>
          <w:color w:val="777777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.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 xml:space="preserve">출석 </w:t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/>
          <w:color w:val="777777"/>
          <w:sz w:val="18"/>
          <w:szCs w:val="18"/>
          <w:shd w:val="clear" w:color="auto" w:fill="FFFFFF"/>
        </w:rPr>
        <w:tab/>
      </w:r>
      <w:r>
        <w:rPr>
          <w:rFonts w:ascii="돋움" w:eastAsia="돋움" w:hAnsi="돋움" w:hint="eastAsia"/>
          <w:color w:val="777777"/>
          <w:sz w:val="18"/>
          <w:szCs w:val="18"/>
          <w:shd w:val="clear" w:color="auto" w:fill="FFFFFF"/>
        </w:rPr>
        <w:t>10%</w:t>
      </w:r>
    </w:p>
    <w:sectPr w:rsidR="003F710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1555" w14:textId="77777777" w:rsidR="00585405" w:rsidRDefault="00585405">
      <w:pPr>
        <w:spacing w:after="0" w:line="240" w:lineRule="auto"/>
      </w:pPr>
      <w:r>
        <w:separator/>
      </w:r>
    </w:p>
  </w:endnote>
  <w:endnote w:type="continuationSeparator" w:id="0">
    <w:p w14:paraId="04557A6B" w14:textId="77777777" w:rsidR="00585405" w:rsidRDefault="0058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FE52" w14:textId="77777777" w:rsidR="00585405" w:rsidRDefault="00585405">
      <w:pPr>
        <w:spacing w:after="0" w:line="240" w:lineRule="auto"/>
      </w:pPr>
      <w:r>
        <w:separator/>
      </w:r>
    </w:p>
  </w:footnote>
  <w:footnote w:type="continuationSeparator" w:id="0">
    <w:p w14:paraId="77D9936C" w14:textId="77777777" w:rsidR="00585405" w:rsidRDefault="00585405">
      <w:pPr>
        <w:spacing w:after="0" w:line="240" w:lineRule="auto"/>
      </w:pPr>
      <w:r>
        <w:continuationSeparator/>
      </w:r>
    </w:p>
  </w:footnote>
  <w:footnote w:id="1">
    <w:p w14:paraId="05E0FF69" w14:textId="53B041D1" w:rsidR="003F7103" w:rsidRDefault="000F35BC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color w:val="FF0000"/>
          <w:sz w:val="18"/>
          <w:szCs w:val="20"/>
        </w:rPr>
        <w:t>학부 4학년으로 직전학기까지 평점평균 3.5이상인 경우 대학원 기초공통과목을 최대 6학점까지 이수 가능. 졸업이수학점으로 인정받기 위해서는 졸업 전에 학과장과 상의하여 이수구분(전공선택) 확인받은 후 이수구분신청서를 사범대학행정실에 제출하여야 함.</w:t>
      </w:r>
      <w:r w:rsidR="001F629A">
        <w:rPr>
          <w:color w:val="FF0000"/>
          <w:sz w:val="18"/>
          <w:szCs w:val="20"/>
        </w:rPr>
        <w:t xml:space="preserve"> (</w:t>
      </w:r>
      <w:r w:rsidR="001F629A">
        <w:rPr>
          <w:rFonts w:hint="eastAsia"/>
          <w:color w:val="FF0000"/>
          <w:sz w:val="18"/>
          <w:szCs w:val="20"/>
        </w:rPr>
        <w:t xml:space="preserve">수강을 원하는 학생은 수강신청 전에 </w:t>
      </w:r>
      <w:proofErr w:type="spellStart"/>
      <w:r w:rsidR="001F629A" w:rsidRPr="001F629A">
        <w:rPr>
          <w:rFonts w:hint="eastAsia"/>
          <w:color w:val="002060"/>
          <w:sz w:val="18"/>
          <w:szCs w:val="20"/>
        </w:rPr>
        <w:t>배진희조교선생님에게</w:t>
      </w:r>
      <w:proofErr w:type="spellEnd"/>
      <w:r w:rsidR="001F629A">
        <w:rPr>
          <w:rFonts w:hint="eastAsia"/>
          <w:color w:val="FF0000"/>
          <w:sz w:val="18"/>
          <w:szCs w:val="20"/>
        </w:rPr>
        <w:t xml:space="preserve"> 미리 얘기하여 공문으로 처리할 수 있음.</w:t>
      </w:r>
      <w:r w:rsidR="001F629A">
        <w:rPr>
          <w:color w:val="FF0000"/>
          <w:sz w:val="18"/>
          <w:szCs w:val="20"/>
        </w:rPr>
        <w:t>)</w:t>
      </w:r>
      <w:r>
        <w:rPr>
          <w:color w:val="FF0000"/>
          <w:sz w:val="18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41C"/>
    <w:multiLevelType w:val="hybridMultilevel"/>
    <w:tmpl w:val="637E6218"/>
    <w:lvl w:ilvl="0" w:tplc="15EC833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03"/>
    <w:rsid w:val="000F35BC"/>
    <w:rsid w:val="001F629A"/>
    <w:rsid w:val="0031389D"/>
    <w:rsid w:val="003F7103"/>
    <w:rsid w:val="00585405"/>
    <w:rsid w:val="00597402"/>
    <w:rsid w:val="00C33C4F"/>
    <w:rsid w:val="00C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uiPriority w:val="99"/>
    <w:unhideWhenUsed/>
    <w:rPr>
      <w:vertAlign w:val="superscript"/>
    </w:rPr>
  </w:style>
  <w:style w:type="paragraph" w:styleId="a6">
    <w:name w:val="endnote text"/>
    <w:link w:val="Char"/>
    <w:uiPriority w:val="99"/>
    <w:unhideWhenUsed/>
    <w:pPr>
      <w:snapToGrid w:val="0"/>
      <w:jc w:val="left"/>
    </w:pPr>
  </w:style>
  <w:style w:type="character" w:customStyle="1" w:styleId="Char">
    <w:name w:val="미주 텍스트 Char"/>
    <w:link w:val="a6"/>
    <w:uiPriority w:val="99"/>
  </w:style>
  <w:style w:type="character" w:styleId="a7">
    <w:name w:val="footnote reference"/>
    <w:uiPriority w:val="99"/>
    <w:unhideWhenUsed/>
    <w:rPr>
      <w:vertAlign w:val="superscript"/>
    </w:rPr>
  </w:style>
  <w:style w:type="paragraph" w:styleId="a8">
    <w:name w:val="footnote text"/>
    <w:link w:val="Char0"/>
    <w:uiPriority w:val="99"/>
    <w:unhideWhenUsed/>
    <w:pPr>
      <w:snapToGrid w:val="0"/>
      <w:jc w:val="left"/>
    </w:pPr>
  </w:style>
  <w:style w:type="character" w:customStyle="1" w:styleId="Char0">
    <w:name w:val="각주 텍스트 Char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2022-02-14T01:22:00Z</dcterms:created>
  <dcterms:modified xsi:type="dcterms:W3CDTF">2022-02-14T01:22:00Z</dcterms:modified>
  <cp:version>1000.0100.01</cp:version>
</cp:coreProperties>
</file>